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Ind w:w="247" w:type="dxa"/>
        <w:shd w:val="clear" w:color="auto" w:fill="FFFFFF"/>
        <w:tblCellMar>
          <w:left w:w="0" w:type="dxa"/>
          <w:right w:w="0" w:type="dxa"/>
        </w:tblCellMar>
        <w:tblLook w:val="04A0"/>
      </w:tblPr>
      <w:tblGrid>
        <w:gridCol w:w="2169"/>
        <w:gridCol w:w="6264"/>
        <w:gridCol w:w="1617"/>
      </w:tblGrid>
      <w:tr w:rsidR="00C4524D" w:rsidRPr="00C4524D" w:rsidTr="00C4524D">
        <w:trPr>
          <w:trHeight w:val="375"/>
          <w:tblHeader/>
        </w:trPr>
        <w:tc>
          <w:tcPr>
            <w:tcW w:w="216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宋体" w:eastAsia="宋体" w:hAnsi="宋体" w:cs="Helvetica" w:hint="eastAsia"/>
                <w:b/>
                <w:bCs/>
                <w:color w:val="3E3E3E"/>
                <w:sz w:val="24"/>
                <w:szCs w:val="24"/>
              </w:rPr>
              <w:t>惩戒措施</w:t>
            </w:r>
          </w:p>
        </w:tc>
        <w:tc>
          <w:tcPr>
            <w:tcW w:w="626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宋体" w:eastAsia="宋体" w:hAnsi="宋体" w:cs="Helvetica" w:hint="eastAsia"/>
                <w:b/>
                <w:bCs/>
                <w:color w:val="3E3E3E"/>
                <w:sz w:val="24"/>
                <w:szCs w:val="24"/>
              </w:rPr>
              <w:t>法律法规依据</w:t>
            </w:r>
          </w:p>
        </w:tc>
        <w:tc>
          <w:tcPr>
            <w:tcW w:w="161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宋体" w:eastAsia="宋体" w:hAnsi="宋体" w:cs="Helvetica" w:hint="eastAsia"/>
                <w:b/>
                <w:bCs/>
                <w:color w:val="3E3E3E"/>
                <w:sz w:val="24"/>
                <w:szCs w:val="24"/>
              </w:rPr>
              <w:t>实施单位</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1、在申请政府性资金支持时，采取从严审核或降低支持力度或不予支持等限制措施。</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《国务院关于印发社会信用体系建设规划纲要（2014—2020年）的通知》（国发〔2014〕21号）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各级人民政府、</w:t>
            </w:r>
          </w:p>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财政部、</w:t>
            </w:r>
          </w:p>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国家发展改革委</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2、在申请发行企业债券时，将其列入“从严审核”类，并在发行额度方面予以限制；依法限制公开发行公司债券。</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《国家发展改革委 人民银行 中央编办关于在行政管理事项中使用信用记录和信用报告的若干意见》（发改财金〔2013〕920号）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《国家发展改革委办公厅关于进一步改进企业债券发行审核工作的通知》（发改办财金[2013]957号）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二、从严审核类</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对于以下两类发债申请，要从严审核，有效防范市场风险。</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（二）企业信用等级较低，负债率高，债券余额较大或运作不规范、资产不实、偿债措施较弱的发债申请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2、企业及所在地地方政府或为其提供承销服务的券商有不尽职或不诚信记录。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《国家发展改革委关于推进企业债券市场发展、简化发行核准程序有关事项的通知》（发改财金[2008]7号）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二、企业公开发行企业债券应符合下列条件：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（七）最近三年没有重大违法违规行为。</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lastRenderedPageBreak/>
              <w:t>《公司债券发行与交易管理办法》（证监会令【第113号】）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第十七条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存在下列情形之一的，不得公开发行公司债券：</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（一）最近三十六个月内公司财务会计文件存在虚假记载，或公司存在其他重大违法行为；</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（四）严重损害投资者合法权益和社会公共利益的其他情形。</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国家发展改革委、证监会</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36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3、在申请粮食和食糖进口关税配额时，将其失信信息作为限制配额依据。</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《2016年粮食进口关税配额申领条件和分配原则》</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二、申领条件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2016年粮食进口关税配额申请者基本条件为：2015 年10 月1日前在工商管理部门登记注册;具有良好的财务状况、纳税记录和诚信情况;严格执行粮食流通统计制度，遵守粮食经营者最低最高库存规定;2013 至2015 年在海关、工商、税务、外汇、检验检疫、粮食流通、环保等方面无违规记录，无不良贷款信用记录，没有违反《农产品进口关税配额管理暂行办法》的行为。</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《关于2016年食糖进口关税配额申请和分配细则的公告》</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三、申请者基本条件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（一）2015年10月1日前在工商行政管理部门登记注册，并进行了年度报告公示；</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（二）2013年至2015年在海关、外汇、工商、税务、质检、社会保障、环保、行业自律等方面无违规记录；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（三）没有违反《农产品进口关税配额管理暂行办法》和《2015年食糖进口关税配额申请和分配细则》的行为。</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国家发展改革委、商务部</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4、在一定期限内依法禁止其参与政府采购活动。</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《中国人民共和国政府采购法》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第二十二条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供应商参加政府采购活动应当具备下列条件：</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（一）具有独立承担民事责任的能力；</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（二）具有良好的商业信誉和健全的财务会计制度；</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（三）具有履行合同所必需的设备和专业技术能力；</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（四）有依法缴纳税收和社会保障资金的良好记录；</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（五）参加政府采购活动前三年内，在经营活动中没有重大违法记录；</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（六）法律、行政法规规定的其他条件。</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《国务院关于印发社会信用体系建设规划纲要（2014—2020年）的通知》（国发〔2014〕21号）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财政部</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5、限制取得政府供应土地。</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《国务院关于促进市场公平竞争维护市场正常秩序的若干意见》（国发〔2014〕20号）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《企业信息公开暂行条例》（国务院令第654号）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第十八条　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国土资源部</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6、在申请信</w:t>
            </w:r>
            <w:r w:rsidRPr="00C4524D">
              <w:rPr>
                <w:rFonts w:ascii="仿宋_GB2312" w:eastAsia="仿宋_GB2312" w:hAnsi="Helvetica" w:cs="Helvetica" w:hint="eastAsia"/>
                <w:color w:val="3E3E3E"/>
                <w:sz w:val="24"/>
                <w:szCs w:val="24"/>
              </w:rPr>
              <w:lastRenderedPageBreak/>
              <w:t>贷融资或办理信用卡时，金融机构将其失信信息作为审核的重要参考因素。</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lastRenderedPageBreak/>
              <w:t>《国务院关于促进市场公平竞争维护市场正常秩序的</w:t>
            </w:r>
            <w:r w:rsidRPr="00C4524D">
              <w:rPr>
                <w:rFonts w:ascii="仿宋_GB2312" w:eastAsia="仿宋_GB2312" w:hAnsi="Helvetica" w:cs="Helvetica" w:hint="eastAsia"/>
                <w:b/>
                <w:bCs/>
                <w:color w:val="3E3E3E"/>
                <w:sz w:val="24"/>
                <w:szCs w:val="24"/>
              </w:rPr>
              <w:lastRenderedPageBreak/>
              <w:t>若干意见》（国发〔2014〕20号）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人民银行、</w:t>
            </w:r>
          </w:p>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银监会</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7、在股票发行审核及在全国中小企业股份转让系统公开转让审核中，将其失信信息作为重要参考。</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《中华人民共和国证券法》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第十三条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公司公开发行新股，应当符合下列条件：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（三）最近三年财务会计文件无虚假记载，无其他重大违法行为；</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《首次公开发行股票并上市管理办法》（证监会令【第122号】）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第十八条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发行人不得有下列情形：</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（二）最近36 个月内违反工商、税收、土地、环保、海关以及其他法律、行政法规，受到行政处罚，且情节严重；</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《首次公开发行股票并在创业板上市管理办法》（证监会令【第99号】）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第二十一条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发行人及其控股股东、实际控制人最近三年内不存在损害投资者合法权益和社会公共利益的重大违法行为。</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《上市公司证券发行管理办法》（证监会令【第30号】）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第九条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上市公司最近三十六个月内财务会计文件无虚假记载，且不存在下列重大违法行为：</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（二）违反工商、税收、土地、环保、海关法律、行政法规或规章，受到行政处罚且情节严重，或者受到刑事处罚；</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lastRenderedPageBreak/>
              <w:t>《创业板上市公司证券发行管理暂行办法》（证监会令【第100号】）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上市公司存在下列情形之一的，不得发行证券：</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（三）最近三十六个月内因违反法律、行政法规、规章受到行政处罚且情节严重，或者受到刑事处罚</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《非上市公众公司监督管理办法》（证监会令【第96号】）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第三条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公众公司应当按照法律、行政法规、本办法和公司章程的规定，做到股权明晰，合法规范经营，公司治理机制健全，履行信息披露义务。</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证监会</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8、在审批证券公司、基金管理公司及期货公司的设立及变更持有5%以上股权的股东、实际控制人时，将其失信信息作为审批的重要参考。</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《中华人民共和国证券法》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第一百二十四条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设立证券公司，应当具备下列条件：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(二)主要股东具有持续盈利能力，信誉良好，最近三年无重大违法违规记录，净资产不低于人民币二亿元；</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《中华人民共和国证券投资基金法》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第十三条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设立管理公开募集基金的基金管理公司，应当具备下列条件，并经国务院证券监督管理机构批准：</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（三）主要股东应当具有经营金融业务或者管理金融机构的良好业绩、良好的财务状况和社会信誉，资产规模达到国务院规定的标准，最近三年没有违法记录；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《期货交易管理条例》（国务院令第627号）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第十六条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申请设立期货公司，应当符合《中华人民共和国公司法》的规定，并具备下列条件：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（四）主要股东以及实际控制人具有持续盈利能力，信誉良好，最近3年无重大违法违规记录；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《证券公司监督管理条例》（国务院令第522号）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有下列情形之一的单位或者个人，不得成为持有证券公司5%以上股权的股东、实际控制人：</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（一）因故意犯罪被判处刑罚，刑罚执行完毕未逾3年；</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（四）国务院证券监督管理机构认定的其他情形。</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lastRenderedPageBreak/>
              <w:t>《证券投资基金管理公司管理办法》（证监会令【第84号】）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第七条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申请设立基金管理公司，出资或者持有股份占基金管理公司注册资本的比例（以下简称持股比例）在5%以上的股东，应当具备下列条件：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（三）最近3年没有因违法违规行为受到行政处罚或者刑事处罚；</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（六）具有良好的社会信誉，最近3年在金融监管、税务、工商等行政机关，以及自律管理、商业银行等机构无不良记录。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《期货公司监督管理办法》（证监会令【第110号】）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第七条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持有5%以上股权的股东为法人或者其他组织的，应当具备下列条件：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（四）近3 年未因重大违法违规行为受到行政处罚或者刑事处罚；</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证监会</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9、对严重失信的自然人，依法限制其担任上市公司、证券公司、基金管理公司、期货公司的董事、监事和高级管理人员等，对其证券、基金、期货从业资格申请予以从严审核，对已成为证券、基金、期货从业人员的相关主体予以重点关注。</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《中华人民共和国公司法》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第一百四十六条　有下列情形之一的，不得担任公司的董事、监事、高级管理人员：</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(四)担任因违法被吊销营业执照、责令关闭的公司、企业的法定代表人，并负有个人责任的，自该公司、企业被吊销营业执照之日起未逾三年；</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《证券公司董事、监事和高级管理人员任职资格监管办法》（证监会令【第88号】）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第八条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取得证券公司董事、监事、高管人员和分支机构负责人任职资格，应当具备以下基本条件：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（一）正直诚实，品行良好；</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《中华人民共和国证券投资基金法》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第十五条 有下列情形之一的，不得担任公开募集基金的基金管理人的董事、监事、高级管理人员和其他从业人员：</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（二）对所任职的公司、企业因经营不善破产清算或</w:t>
            </w:r>
            <w:r w:rsidRPr="00C4524D">
              <w:rPr>
                <w:rFonts w:ascii="仿宋_GB2312" w:eastAsia="仿宋_GB2312" w:hAnsi="Helvetica" w:cs="Helvetica" w:hint="eastAsia"/>
                <w:color w:val="3E3E3E"/>
                <w:sz w:val="24"/>
                <w:szCs w:val="24"/>
              </w:rPr>
              <w:lastRenderedPageBreak/>
              <w:t>者因违法被吊销营业执照负有个人责任的董事、监事、厂长、高级管理人员，自该公司、企业破产清算终结或者被吊销营业执照之日起未逾五年的；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《证券投资基金行业高级管理人员任职管理办法》（证监会令【第23号】）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第四条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高级管理人员应当遵守法律、行政法规和中国证监会的规定，遵守公司章程和行业规范，恪守诚信，审慎勤勉，忠实尽责，维护基金份额持有人的合法权益。</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《期货公司董事、监事和高级管理人员任职资格管理办法》（证监会令【第47号】）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第六条 申请期货公司董事、监事和高级管理人员的任职资格，应当具有诚实守信的品质、良好的职业道德和履行职责所必需的经营管理能力。</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《证券业从业人员资格管理办法》（证监会令【第14号】）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第十条　取得从业资格的人员，符合下列条件的，可以通过机构申请执业证书：</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（五）品行端正，具有良好的职业道德；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《期货从业人员管理办法》（证监会令【第48号】）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机构任用具有从业资格考试合格证明且符合下列条件的人员从事期货业务的，应当为其办理从业资格申请：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（一）品行端正，具有良好的职业道德；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《私募投资基金监督管理暂行办法》（证监会令【第105号】）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第四条 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私募基金从业人员应当遵守法律、行政法规，恪守职业道德和行为规范。</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证监会</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10、对严重失</w:t>
            </w:r>
            <w:r w:rsidRPr="00C4524D">
              <w:rPr>
                <w:rFonts w:ascii="仿宋_GB2312" w:eastAsia="仿宋_GB2312" w:hAnsi="Helvetica" w:cs="Helvetica" w:hint="eastAsia"/>
                <w:color w:val="3E3E3E"/>
                <w:sz w:val="24"/>
                <w:szCs w:val="24"/>
              </w:rPr>
              <w:lastRenderedPageBreak/>
              <w:t>信的自然人，依法限制其担任食品药品生产经营企业法定代表人、董事、监事和高级管理人员。</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lastRenderedPageBreak/>
              <w:t>《中华人民共和国食品安全法》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第一百三十五条</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因食品安全犯罪被判处有期徒刑以上刑罚的，终身不得从事食品生产经营管理工作，也不得担任食品生产经营企业食品安全管理人员。</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《中华人民共和国药品管理法》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第七十五条　从事生产、销售假药及生产、销售劣药情节严重的企业或者其他单位，其直接负责的主管人员和其他直接责任人员十年内不得从事药品生产、经营活动。</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《企业法人法定代表人登记管理规定》（国家工商行政管理局令第90号）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第四条　有下列情形之一的，不得担任法定代表人，企业登记机关不予核准登记：</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(一)无民事行为能力或者限制民事行为能力的；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(二)正在被执行刑罚或者正在被执行刑事强制措施的；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(三)正在被公安机关或者国家安全机关通缉的；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因犯有贪污贿赂罪、侵犯财产罪或者破坏社会主义市场经济秩序罪，被判处刑罚，执行期满未逾五年的；因犯有其他罪，被判处刑罚，执行期满未逾三年的；或者因犯罪被判处剥夺政治权利，执行期满未逾五年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(五)担任因经营不善破产清算的企业的法定代表人或者董事、经理，并对该企业的破产负有个人责任，自该企业破产清算完结之日起未逾三年的；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(六)担任因违法被吊销营业执照的企业的法定代表人，并对该企业违法行为负有个人责任，自该企业被吊销营业执照之日起未逾三年的；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(七)个人负债数额较大，到期未清偿的；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(八)有法律和国务院规定不得担任法定代表人的其他情形的。</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工商总局</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11、在申请办</w:t>
            </w:r>
            <w:r w:rsidRPr="00C4524D">
              <w:rPr>
                <w:rFonts w:ascii="仿宋_GB2312" w:eastAsia="仿宋_GB2312" w:hAnsi="Helvetica" w:cs="Helvetica" w:hint="eastAsia"/>
                <w:color w:val="3E3E3E"/>
                <w:sz w:val="24"/>
                <w:szCs w:val="24"/>
              </w:rPr>
              <w:lastRenderedPageBreak/>
              <w:t>理通关业务时，对其进出口货物加大监管力度，加强单证审核和布控查验。</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lastRenderedPageBreak/>
              <w:t>《国务院关于促进市场公平竞争维护市场正常秩序的</w:t>
            </w:r>
            <w:r w:rsidRPr="00C4524D">
              <w:rPr>
                <w:rFonts w:ascii="仿宋_GB2312" w:eastAsia="仿宋_GB2312" w:hAnsi="Helvetica" w:cs="Helvetica" w:hint="eastAsia"/>
                <w:b/>
                <w:bCs/>
                <w:color w:val="3E3E3E"/>
                <w:sz w:val="24"/>
                <w:szCs w:val="24"/>
              </w:rPr>
              <w:lastRenderedPageBreak/>
              <w:t>若干意见》（国发〔2014〕20号）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海关总署、</w:t>
            </w:r>
          </w:p>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质检总局</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12、对申请适用海关认证企业管理的，不予通过认证；对已经成为认证企业的，按照规定下调企业信用等级。</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《海关认证企业标准》（海关总署2014年第82公告）</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（九）未有不良外部信用</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企业或者其企业法定代表人（负责人）、负责关务的高级管理人员、财务负责人连续1年在工商、商务、税务、银行、外汇、检验检疫、公安、检察院、法院等部门未被列入经营异常名录、失信企业或者人员名单、黑名单企业、人员。</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海关总署</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13、在申请国境口岸卫生许可时，检验检疫部门可不予受理或不予许可。</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《国务院关于印发社会信用体系建设规划纲要（2014—2020年）的通知》（国发〔2014〕21号）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《国务院关于建立完善守信联合激励和失信联合惩戒制度加快推进社会诚信建设的指导意见》（国发〔2016〕33号）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（十）依法依规加强对失信行为的行政性约束和惩戒。对严重失信主体，各地区、各有关部门应将其列为重点监管对象，依法依规采取行政性约束和惩戒措施。</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质检总局</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14、列入税收管理重点监控对</w:t>
            </w:r>
            <w:r w:rsidRPr="00C4524D">
              <w:rPr>
                <w:rFonts w:ascii="仿宋_GB2312" w:eastAsia="仿宋_GB2312" w:hAnsi="Helvetica" w:cs="Helvetica" w:hint="eastAsia"/>
                <w:color w:val="3E3E3E"/>
                <w:sz w:val="24"/>
                <w:szCs w:val="24"/>
              </w:rPr>
              <w:lastRenderedPageBreak/>
              <w:t>象，加强纳税评估，提高监督检查频次，并对其享受税收优惠从严审核。</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lastRenderedPageBreak/>
              <w:t>《国务院关于印发社会信用体系建设规划纲要（2014—2020年）的通知》（国发〔2014〕21号）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《国务院关于建立完善守信联合激励和失信联合惩戒制度加快推进社会诚信建设的指导意见》（国发〔2016〕33号）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（十）依法依规加强对失信行为的行政性约束和惩戒。对严重失信主体，各地区、各有关部门应将其列为重点监管对象，依法依规采取行政性约束和惩戒措施。</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税务总局</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15、限制新的科技扶持项目，将其严重失信行为计入科研信用记录，并依据有关规定暂停审批其新的科技项目扶持资金申报等。</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《国家科技计划项目管理暂行办法》（科学技术部令第5号）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第八条 申请项目的申请者（包括单位或个人）应当符合以下基本条件：</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（一）符合该计划对申请者的主体资格（包括法人性质、经济性质、国籍）等方面要求；</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（二）在相关研究领域和专业应具有一定的学术地位和技术优势；</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（三）具有为完成项目必备的人才条件和技术装备；</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（四）具有与项目相关的研究经历和研究积累；</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（五）具有完成项目所需的组织管理和协调能力；</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（六）具有完成项目的良好信誉度。</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《国务院关于改进加强中央财政科研项目和资金管理的若干意见》（国发〔2014〕11号）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黑名单”制度，将严重不良信用记录者记入“黑名单”，阶段性或永久取消其申请中央财政资助项目或参与项目管理的资格。</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科技部</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16、对广播电</w:t>
            </w:r>
            <w:r w:rsidRPr="00C4524D">
              <w:rPr>
                <w:rFonts w:ascii="仿宋_GB2312" w:eastAsia="仿宋_GB2312" w:hAnsi="Helvetica" w:cs="Helvetica" w:hint="eastAsia"/>
                <w:color w:val="3E3E3E"/>
                <w:sz w:val="24"/>
                <w:szCs w:val="24"/>
              </w:rPr>
              <w:lastRenderedPageBreak/>
              <w:t>台、电视台、报刊音像出版单位等媒体发布其广告依法加强管理。</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lastRenderedPageBreak/>
              <w:t>《中华人民共和国广告法》</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第六十八条 广播电台、电视台、报刊音像出版单位发布违法广告，或者以新闻报道形式变相发布广告，或者以介绍健康、养生知识等形式变相发布医疗、药品、医疗器械、保健食品广告，工商行政管理部门依照本法给予处罚的，应当通报新闻出版广电部门以及其他有关部门。新闻出版广电部门以及其他有关部门应当依法对负有责任的主管人员和直接责任人员给予处分；情节严重的，并可以暂停媒体的广告发布业务。</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新闻出版广</w:t>
            </w:r>
            <w:r w:rsidRPr="00C4524D">
              <w:rPr>
                <w:rFonts w:ascii="仿宋_GB2312" w:eastAsia="仿宋_GB2312" w:hAnsi="Helvetica" w:cs="Helvetica" w:hint="eastAsia"/>
                <w:color w:val="3E3E3E"/>
                <w:sz w:val="24"/>
                <w:szCs w:val="24"/>
              </w:rPr>
              <w:lastRenderedPageBreak/>
              <w:t>电</w:t>
            </w:r>
          </w:p>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总局</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17、限制新网站开办，在申请经营性互联网信息服务时，将其失信信息作为审核相关许可的重要参考。对于经食品药品监管部门认定违规提供食品药品互联网信息服务的严重失信者，不得同意其备案或许可。</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《互联网信息服务管理办法》（国务院令第292号）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第五条　从事新闻、出版、教育、医疗保健、药品和医疗器械等互联网信息服务，依照法律、行政法规以及国家有关规定须经有关主管部门审核同意的，在申请经营许可或者履行备案手续前，应当依法经有关主管部门审核同意。</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第十八条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国务院信息产业主管部门和省、自治区、直辖市电信管理机构，依法对互联网信息服务实施监督管理。</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新闻、出版、教育、卫生、药品监督管理、工商行政管理和公安、国家安全等有关主管部门，在各自职责范围内依法对互联网信息内容实施监督管理。</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第二十条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《关于建立境内违法互联网站黑名单管理制度的通知》（工信部联电管【2009】371号）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十、对于列入违法互联网站黑名单的境内互联网站，涉及获准从事新闻、出版、教育、医疗保健、药品和医疗器械、文化、视听节目服务等互联网信息服务的，互联网相关管理部门应取消相应批准。有经营许可的，互联</w:t>
            </w:r>
            <w:r w:rsidRPr="00C4524D">
              <w:rPr>
                <w:rFonts w:ascii="仿宋_GB2312" w:eastAsia="仿宋_GB2312" w:hAnsi="Helvetica" w:cs="Helvetica" w:hint="eastAsia"/>
                <w:color w:val="3E3E3E"/>
                <w:sz w:val="24"/>
                <w:szCs w:val="24"/>
              </w:rPr>
              <w:lastRenderedPageBreak/>
              <w:t>网相关管理部门应将依法取消批准的意见，抄送工商行政管理部门依法办理相应经营范围交更或注销登记。</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十一、对于新申办的网站，互联网行业主管部门应认真审核。如发现其属于已列入违法互联网站黑名单的网站(即网站名称、网站域名、网站主办者身份信息与违法互联网站黑名单记录的信息均相同的)，互联网行业主管部门不得再同意其备案或许可，各互联网相关管理部门不得再批准其提供新闻、出版、教育、医疗保健、药品和医疗器械、文化、视听节目服务等互联网信息服务，公益性互联单位和各相关电信企业不得再为其提供相关接入服务，域名注册单位不得再为其提供域名解析服务。</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工业和信息化部</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18、协调相关互联网新闻信息服务单位向社会公布食品药品生产经营严重失信者名单。</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《中华人民共和国政府信息公开条例》</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第九条　行政机关对符合下列基本要求之一的政府信息应当主动公开：</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（一）涉及公民、法人或者其他组织切身利益的；</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（二）需要社会公众广泛知晓或者参与的；</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（三）反映本行政机关机构设置、职能、办事程序等情况的；</w:t>
            </w:r>
          </w:p>
          <w:p w:rsidR="00C4524D" w:rsidRPr="00C4524D" w:rsidRDefault="00C4524D" w:rsidP="00C4524D">
            <w:pPr>
              <w:wordWrap w:val="0"/>
              <w:adjustRightInd/>
              <w:snapToGrid/>
              <w:spacing w:after="0" w:line="384" w:lineRule="atLeast"/>
              <w:ind w:firstLine="465"/>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（四）其他依照法律、法规和国家有关规定应当主动公开的。</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《互联网新闻信息服务管理规定》（国务院新闻办公室、信息产业部令第37号）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第三条</w:t>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br/>
            </w:r>
            <w:r w:rsidRPr="00C4524D">
              <w:rPr>
                <w:rFonts w:ascii="仿宋_GB2312" w:eastAsia="仿宋_GB2312" w:hAnsi="Helvetica" w:cs="Helvetica" w:hint="eastAsia"/>
                <w:color w:val="3E3E3E"/>
                <w:sz w:val="24"/>
                <w:szCs w:val="24"/>
              </w:rPr>
              <w:t> </w:t>
            </w:r>
            <w:r w:rsidRPr="00C4524D">
              <w:rPr>
                <w:rFonts w:ascii="仿宋_GB2312" w:eastAsia="仿宋_GB2312" w:hAnsi="Helvetica" w:cs="Helvetica" w:hint="eastAsia"/>
                <w:color w:val="3E3E3E"/>
                <w:sz w:val="24"/>
                <w:szCs w:val="24"/>
              </w:rPr>
              <w:t xml:space="preserve"> 互联网新闻信息服务单位从事互联网新闻信息服务，应当遵守宪法、法律和法规，坚持为人民服务、为社会主义服务的方向，坚持正确的舆论导向，维护国家利益和公共利益。</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国家鼓励互联网新闻信息服务单位传播有益于提高民族素质、推动经济发展、促进社会进步的健康、文明的新闻信息。</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中央网信办</w:t>
            </w:r>
          </w:p>
        </w:tc>
      </w:tr>
      <w:tr w:rsidR="00C4524D" w:rsidRPr="00C4524D" w:rsidTr="00C4524D">
        <w:tc>
          <w:tcPr>
            <w:tcW w:w="2169"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19、按程序及时撤销相关荣誉称号，取消参加评先评优的资格。</w:t>
            </w:r>
          </w:p>
        </w:tc>
        <w:tc>
          <w:tcPr>
            <w:tcW w:w="62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b/>
                <w:bCs/>
                <w:color w:val="3E3E3E"/>
                <w:sz w:val="24"/>
                <w:szCs w:val="24"/>
              </w:rPr>
              <w:t>《国务院关于促进市场公平竞争维护市场正常秩序的若干意见》（国发〔2014〕20号）</w:t>
            </w:r>
          </w:p>
          <w:p w:rsidR="00C4524D" w:rsidRPr="00C4524D" w:rsidRDefault="00C4524D" w:rsidP="00C4524D">
            <w:pPr>
              <w:wordWrap w:val="0"/>
              <w:adjustRightInd/>
              <w:snapToGrid/>
              <w:spacing w:after="0" w:line="384" w:lineRule="atLeast"/>
              <w:ind w:firstLine="480"/>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t>（十五）建立健全守信激励和失信惩戒机制。将市场主体的信用信息作为实施行政管理的重要参考。根据市场主体信用状况实行分类分级、动态监管，建立健全经营异</w:t>
            </w:r>
            <w:r w:rsidRPr="00C4524D">
              <w:rPr>
                <w:rFonts w:ascii="仿宋_GB2312" w:eastAsia="仿宋_GB2312" w:hAnsi="Helvetica" w:cs="Helvetica" w:hint="eastAsia"/>
                <w:color w:val="3E3E3E"/>
                <w:sz w:val="24"/>
                <w:szCs w:val="24"/>
              </w:rPr>
              <w:lastRenderedPageBreak/>
              <w:t>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6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4524D" w:rsidRPr="00C4524D" w:rsidRDefault="00C4524D" w:rsidP="00C4524D">
            <w:pPr>
              <w:wordWrap w:val="0"/>
              <w:adjustRightInd/>
              <w:snapToGrid/>
              <w:spacing w:after="0" w:line="384" w:lineRule="atLeast"/>
              <w:jc w:val="center"/>
              <w:rPr>
                <w:rFonts w:ascii="Helvetica" w:eastAsia="宋体" w:hAnsi="Helvetica" w:cs="Helvetica"/>
                <w:color w:val="3E3E3E"/>
                <w:sz w:val="24"/>
                <w:szCs w:val="24"/>
              </w:rPr>
            </w:pPr>
            <w:r w:rsidRPr="00C4524D">
              <w:rPr>
                <w:rFonts w:ascii="仿宋_GB2312" w:eastAsia="仿宋_GB2312" w:hAnsi="Helvetica" w:cs="Helvetica" w:hint="eastAsia"/>
                <w:color w:val="3E3E3E"/>
                <w:sz w:val="24"/>
                <w:szCs w:val="24"/>
              </w:rPr>
              <w:lastRenderedPageBreak/>
              <w:t>中央文明办</w:t>
            </w:r>
          </w:p>
        </w:tc>
      </w:tr>
    </w:tbl>
    <w:p w:rsidR="004358AB" w:rsidRDefault="004358AB" w:rsidP="00D31D50">
      <w:pPr>
        <w:spacing w:line="220" w:lineRule="atLeast"/>
      </w:pPr>
    </w:p>
    <w:sectPr w:rsidR="004358AB" w:rsidSect="00C4524D">
      <w:pgSz w:w="11906" w:h="16838"/>
      <w:pgMar w:top="1440"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56064"/>
    <w:rsid w:val="008B7726"/>
    <w:rsid w:val="00C4524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24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4524D"/>
    <w:rPr>
      <w:b/>
      <w:bCs/>
    </w:rPr>
  </w:style>
</w:styles>
</file>

<file path=word/webSettings.xml><?xml version="1.0" encoding="utf-8"?>
<w:webSettings xmlns:r="http://schemas.openxmlformats.org/officeDocument/2006/relationships" xmlns:w="http://schemas.openxmlformats.org/wordprocessingml/2006/main">
  <w:divs>
    <w:div w:id="18377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2016-09-27T02:28:00Z</dcterms:modified>
</cp:coreProperties>
</file>