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</w:rPr>
        <w:t>xxx系统使用信用信息具体事项清单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_GB2312" w:hAnsi="方正小标宋简体" w:eastAsia="楷体_GB2312" w:cs="方正小标宋简体"/>
          <w:color w:val="444444"/>
          <w:kern w:val="0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color w:val="444444"/>
          <w:kern w:val="0"/>
          <w:sz w:val="32"/>
          <w:szCs w:val="32"/>
        </w:rPr>
        <w:t>（样表）</w:t>
      </w:r>
    </w:p>
    <w:tbl>
      <w:tblPr>
        <w:tblStyle w:val="3"/>
        <w:tblW w:w="9140" w:type="dxa"/>
        <w:jc w:val="center"/>
        <w:tblCellSpacing w:w="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75"/>
        <w:gridCol w:w="4769"/>
        <w:gridCol w:w="740"/>
        <w:gridCol w:w="1244"/>
        <w:gridCol w:w="7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科室名称、单位名称</w:t>
            </w: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行政管理事项名称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核查信用记录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使用信用等级（分值）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使用信用报告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tblCellSpacing w:w="0" w:type="dxa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CellSpacing w:w="0" w:type="dxa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tblCellSpacing w:w="0" w:type="dxa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0" w:type="dxa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69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858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2016-06-15T09:56:58Z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